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5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5198745" cy="15449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Первичный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31.01.2025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31.01.2025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hRule="atLeast" w:val="546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задании на текущий финансовый год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hRule="atLeast" w:val="269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atLeast" w:val="288"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70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6901" w:h="11950" w:code="0" w:orient="landscape"/>
      <w:pgMar w:left="1701" w:right="850" w:top="1134" w:bottom="1134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2025-05-07T12:45:06Z</dcterms:created>
  <cp:lastModifiedBy>hranweb/www-data</cp:lastModifiedBy>
  <dcterms:modified xsi:type="dcterms:W3CDTF">2025-05-07T12:45:10Z</dcterms:modified>
  <cp:revision>1</cp:revision>
</cp:coreProperties>
</file>